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宋体"/>
          <w:color w:val="000000"/>
          <w:kern w:val="0"/>
          <w:sz w:val="30"/>
          <w:szCs w:val="30"/>
          <w:lang w:eastAsia="zh-CN"/>
        </w:rPr>
      </w:pPr>
      <w:r>
        <w:rPr>
          <w:rFonts w:hint="eastAsia" w:ascii="黑体" w:hAnsi="宋体" w:eastAsia="黑体" w:cs="宋体"/>
          <w:color w:val="000000"/>
          <w:kern w:val="0"/>
          <w:sz w:val="30"/>
          <w:szCs w:val="30"/>
        </w:rPr>
        <w:t>附件</w:t>
      </w:r>
      <w:r>
        <w:rPr>
          <w:rFonts w:hint="eastAsia" w:ascii="黑体" w:hAnsi="宋体" w:eastAsia="黑体" w:cs="宋体"/>
          <w:color w:val="000000"/>
          <w:kern w:val="0"/>
          <w:sz w:val="30"/>
          <w:szCs w:val="30"/>
          <w:lang w:val="en-US" w:eastAsia="zh-CN"/>
        </w:rPr>
        <w:t>3</w:t>
      </w:r>
    </w:p>
    <w:p>
      <w:pPr>
        <w:widowControl/>
        <w:spacing w:before="312" w:beforeLines="100" w:after="156" w:afterLines="50" w:line="520" w:lineRule="exact"/>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lang w:val="en-US" w:eastAsia="zh-CN"/>
        </w:rPr>
        <w:t>武威职业学院2023</w:t>
      </w:r>
      <w:r>
        <w:rPr>
          <w:rFonts w:hint="eastAsia" w:ascii="方正小标宋简体" w:hAnsi="方正小标宋简体" w:eastAsia="方正小标宋简体" w:cs="方正小标宋简体"/>
          <w:b w:val="0"/>
          <w:bCs/>
          <w:color w:val="000000"/>
          <w:kern w:val="0"/>
          <w:sz w:val="44"/>
          <w:szCs w:val="44"/>
        </w:rPr>
        <w:t>年思想政治教育研究</w:t>
      </w:r>
    </w:p>
    <w:p>
      <w:pPr>
        <w:widowControl/>
        <w:spacing w:before="312" w:beforeLines="100" w:after="156" w:afterLines="50" w:line="520" w:lineRule="exact"/>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课题</w:t>
      </w:r>
      <w:r>
        <w:rPr>
          <w:rFonts w:hint="eastAsia" w:ascii="方正小标宋简体" w:hAnsi="方正小标宋简体" w:eastAsia="方正小标宋简体" w:cs="方正小标宋简体"/>
          <w:b w:val="0"/>
          <w:bCs/>
          <w:color w:val="000000"/>
          <w:kern w:val="0"/>
          <w:sz w:val="44"/>
          <w:szCs w:val="44"/>
          <w:lang w:val="en-US" w:eastAsia="zh-CN"/>
        </w:rPr>
        <w:t>选题</w:t>
      </w:r>
      <w:r>
        <w:rPr>
          <w:rFonts w:hint="eastAsia" w:ascii="方正小标宋简体" w:hAnsi="方正小标宋简体" w:eastAsia="方正小标宋简体" w:cs="方正小标宋简体"/>
          <w:b w:val="0"/>
          <w:bCs/>
          <w:color w:val="000000"/>
          <w:kern w:val="0"/>
          <w:sz w:val="44"/>
          <w:szCs w:val="44"/>
        </w:rPr>
        <w:t>指南</w:t>
      </w:r>
    </w:p>
    <w:p>
      <w:pPr>
        <w:numPr>
          <w:numId w:val="0"/>
        </w:numPr>
        <w:ind w:leftChars="0"/>
        <w:rPr>
          <w:rFonts w:hint="eastAsia" w:ascii="仿宋_GB2312" w:hAnsi="仿宋_GB2312" w:eastAsia="仿宋_GB2312" w:cs="仿宋_GB2312"/>
          <w:color w:val="auto"/>
          <w:sz w:val="32"/>
          <w:szCs w:val="32"/>
        </w:rPr>
      </w:pPr>
      <w:bookmarkStart w:id="0" w:name="_GoBack"/>
      <w:bookmarkEnd w:id="0"/>
    </w:p>
    <w:p>
      <w:pPr>
        <w:numPr>
          <w:ilvl w:val="0"/>
          <w:numId w:val="1"/>
        </w:numPr>
        <w:ind w:left="425" w:leftChars="0" w:hanging="425"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新时代高职院校铸牢</w:t>
      </w:r>
      <w:r>
        <w:rPr>
          <w:rFonts w:hint="eastAsia" w:ascii="仿宋_GB2312" w:hAnsi="仿宋_GB2312" w:eastAsia="仿宋_GB2312" w:cs="仿宋_GB2312"/>
          <w:color w:val="auto"/>
          <w:sz w:val="32"/>
          <w:szCs w:val="32"/>
        </w:rPr>
        <w:t>中华民族共同体意识</w:t>
      </w:r>
      <w:r>
        <w:rPr>
          <w:rFonts w:hint="eastAsia" w:ascii="仿宋_GB2312" w:hAnsi="仿宋_GB2312" w:eastAsia="仿宋_GB2312" w:cs="仿宋_GB2312"/>
          <w:color w:val="auto"/>
          <w:sz w:val="32"/>
          <w:szCs w:val="32"/>
          <w:lang w:val="en-US" w:eastAsia="zh-CN"/>
        </w:rPr>
        <w:t>教育的途径和方法</w:t>
      </w:r>
      <w:r>
        <w:rPr>
          <w:rFonts w:hint="eastAsia" w:ascii="仿宋_GB2312" w:hAnsi="仿宋_GB2312" w:eastAsia="仿宋_GB2312" w:cs="仿宋_GB2312"/>
          <w:color w:val="auto"/>
          <w:sz w:val="32"/>
          <w:szCs w:val="32"/>
        </w:rPr>
        <w:t>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新时代高校思想政治理论课教师考核评价指标体系研究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新时代高校思想政治理论课教学质量评价体系研究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党政领导干部讲思想政治理论课常态化机制研究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高校思想政治理论课教师队伍与辅导员队伍协同工作模式研究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“四个自信”教育融入思想政治理论课教学研究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在高校思想政治理论课中进一步加强习近平新时代中国特色社会主义思想教育教学研究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构建新时代学校思想政治理论课教育体系研究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“两个确立”融入高校思想政治理论课教学研究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val="en-US" w:eastAsia="zh-CN"/>
        </w:rPr>
        <w:t>高校网络舆情管控策略研究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中国共产党精神谱系融入学校思想政治理论课教学研究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大学生思想政治状况评价指标体系建设研究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高校思想政治理论课名师工作室建设成效研究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善用“大思政课”培根铸魂研究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5G时代宣传思想工作守正创新研究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深化“三全育人”综合改革进展与成效调查研究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红色资源优势提升大学生思政工作实效的路径研究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大思政”视域下“课程思政”育人模式建构与实践探索</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高职院校贯彻党的宗教工作政策问题研究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科教融汇与思想政治教育融合路径研究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中国式现代化理论融入高职院校思想政治教育研究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网络统战工作方法研究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高校文明校园创建的长效机制研究---以志愿者服务为例</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高职学校大学生班团意识的现状及其强化研究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高职学校主流意识形态传播力进一步强化的路径研究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总体国家安全观视域下大学生安全教育体系建设研究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面向数字化战略的精准育人体系构建研究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高校共青团组织在学生社团中提升思想政治引领实效研究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党的二十大精神融入思想政治教育的有效路径研究</w:t>
      </w:r>
    </w:p>
    <w:p>
      <w:pPr>
        <w:numPr>
          <w:ilvl w:val="0"/>
          <w:numId w:val="1"/>
        </w:numPr>
        <w:ind w:left="425" w:leftChars="0" w:hanging="425" w:firstLineChars="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大学生爱国主义教育的现状和对策研究</w:t>
      </w:r>
    </w:p>
    <w:p>
      <w:pPr>
        <w:rPr>
          <w:rFonts w:hint="eastAsia" w:ascii="仿宋_GB2312" w:hAnsi="仿宋_GB2312" w:eastAsia="仿宋_GB2312" w:cs="仿宋_GB2312"/>
          <w:i w:val="0"/>
          <w:caps w:val="0"/>
          <w:color w:val="auto"/>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A7790"/>
    <w:multiLevelType w:val="singleLevel"/>
    <w:tmpl w:val="6C1A779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13C30"/>
    <w:rsid w:val="09F6179F"/>
    <w:rsid w:val="113A1B20"/>
    <w:rsid w:val="11D03405"/>
    <w:rsid w:val="1B847DF4"/>
    <w:rsid w:val="23C027E4"/>
    <w:rsid w:val="2BD210CB"/>
    <w:rsid w:val="33B808F7"/>
    <w:rsid w:val="36F36954"/>
    <w:rsid w:val="43ED3BE7"/>
    <w:rsid w:val="4E9821CF"/>
    <w:rsid w:val="5CEC385A"/>
    <w:rsid w:val="5CF27D86"/>
    <w:rsid w:val="6DAA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2023-05-23T00:21:00Z</dcterms:created>
  <dc:creator>lenovo</dc:creator>
  <cp:lastModifiedBy>lenovo</cp:lastModifiedBy>
  <dcterms:modified xsi:type="dcterms:W3CDTF">2023-06-16T08:11:42Z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